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before="240" w:after="360" w:line="259" w:lineRule="auto"/>
        <w:jc w:val="center"/>
        <w:rPr>
          <w:rStyle w:val="Titredulivre"/>
          <w:rFonts w:asciiTheme="minorHAnsi" w:hAnsiTheme="minorHAnsi" w:cstheme="minorHAnsi"/>
          <w:i w:val="0"/>
          <w:sz w:val="32"/>
          <w:szCs w:val="32"/>
        </w:rPr>
      </w:pPr>
      <w:r>
        <w:rPr>
          <w:rStyle w:val="Titredulivre"/>
          <w:rFonts w:asciiTheme="minorHAnsi" w:hAnsiTheme="minorHAnsi" w:cstheme="minorHAnsi"/>
          <w:i w:val="0"/>
          <w:sz w:val="32"/>
          <w:szCs w:val="32"/>
        </w:rPr>
        <w:t>CESS histoire 2019 : fiche d’information pour l’enseignant</w:t>
      </w:r>
      <w:bookmarkStart w:id="0" w:name="_GoBack"/>
      <w:bookmarkEnd w:id="0"/>
    </w:p>
    <w:p>
      <w:pPr>
        <w:tabs>
          <w:tab w:val="left" w:pos="0"/>
        </w:tabs>
        <w:spacing w:after="240" w:line="259" w:lineRule="auto"/>
        <w:jc w:val="both"/>
        <w:rPr>
          <w:b/>
        </w:rPr>
      </w:pPr>
      <w:r>
        <w:rPr>
          <w:rFonts w:ascii="Calibri" w:hAnsi="Calibri" w:cs="Calibri"/>
          <w:b/>
          <w:iCs/>
          <w:sz w:val="22"/>
          <w:szCs w:val="22"/>
          <w:lang w:val="fr-BE"/>
        </w:rPr>
        <w:t>Organisation</w:t>
      </w:r>
    </w:p>
    <w:p>
      <w:pPr>
        <w:pBdr>
          <w:top w:val="dashSmallGap" w:sz="4" w:space="1" w:color="auto"/>
          <w:left w:val="dashSmallGap" w:sz="4" w:space="4" w:color="auto"/>
          <w:bottom w:val="dashSmallGap" w:sz="4" w:space="1" w:color="auto"/>
          <w:right w:val="dashSmallGap" w:sz="4" w:space="4" w:color="auto"/>
        </w:pBdr>
        <w:spacing w:line="259" w:lineRule="auto"/>
        <w:ind w:right="-1"/>
        <w:jc w:val="center"/>
        <w:rPr>
          <w:rFonts w:ascii="Calibri" w:hAnsi="Calibri" w:cs="Calibri"/>
          <w:b/>
          <w:sz w:val="22"/>
          <w:szCs w:val="22"/>
        </w:rPr>
      </w:pPr>
      <w:r>
        <w:rPr>
          <w:rFonts w:ascii="Calibri" w:hAnsi="Calibri" w:cs="Arial"/>
          <w:b/>
          <w:sz w:val="22"/>
          <w:szCs w:val="22"/>
        </w:rPr>
        <w:t>La</w:t>
      </w:r>
      <w:r>
        <w:rPr>
          <w:rFonts w:ascii="Calibri" w:hAnsi="Calibri" w:cs="Calibri"/>
          <w:b/>
          <w:sz w:val="22"/>
          <w:szCs w:val="22"/>
        </w:rPr>
        <w:t xml:space="preserve"> date de passation de l’épreuve CESS histoire est fixée au vendredi 14 juin 2019.</w:t>
      </w:r>
    </w:p>
    <w:p>
      <w:pPr>
        <w:spacing w:line="259" w:lineRule="auto"/>
        <w:ind w:right="-1"/>
        <w:jc w:val="both"/>
        <w:rPr>
          <w:rFonts w:ascii="Calibri" w:hAnsi="Calibri" w:cs="Calibri"/>
          <w:sz w:val="22"/>
          <w:szCs w:val="22"/>
        </w:rPr>
      </w:pPr>
    </w:p>
    <w:p>
      <w:pPr>
        <w:spacing w:after="120" w:line="259" w:lineRule="auto"/>
        <w:ind w:right="-1"/>
        <w:jc w:val="both"/>
        <w:rPr>
          <w:rFonts w:ascii="Calibri" w:hAnsi="Calibri" w:cs="Tahoma"/>
          <w:sz w:val="20"/>
          <w:szCs w:val="20"/>
          <w:lang w:val="fr-BE"/>
        </w:rPr>
      </w:pPr>
      <w:r>
        <w:rPr>
          <w:rFonts w:ascii="Calibri" w:hAnsi="Calibri" w:cs="Calibri"/>
          <w:iCs/>
          <w:sz w:val="20"/>
          <w:szCs w:val="20"/>
          <w:lang w:val="fr-BE"/>
        </w:rPr>
        <w:t xml:space="preserve">L’épreuve débute entre 8h15 et 8h45, selon les dispositions pratiques fixées par le chef d’établissement ou le pouvoir organisateur. </w:t>
      </w:r>
      <w:r>
        <w:rPr>
          <w:rFonts w:ascii="Calibri" w:hAnsi="Calibri" w:cs="Tahoma"/>
          <w:sz w:val="20"/>
          <w:szCs w:val="20"/>
          <w:lang w:val="fr-BE"/>
        </w:rPr>
        <w:t xml:space="preserve">La durée de passation a été fixée à </w:t>
      </w:r>
      <w:r>
        <w:rPr>
          <w:rFonts w:ascii="Calibri" w:hAnsi="Calibri" w:cs="Tahoma"/>
          <w:sz w:val="20"/>
          <w:szCs w:val="20"/>
          <w:u w:val="single"/>
          <w:lang w:val="fr-BE"/>
        </w:rPr>
        <w:t>100 minutes effectives</w:t>
      </w:r>
      <w:r>
        <w:rPr>
          <w:rFonts w:ascii="Calibri" w:hAnsi="Calibri" w:cs="Tahoma"/>
          <w:sz w:val="20"/>
          <w:szCs w:val="20"/>
          <w:lang w:val="fr-BE"/>
        </w:rPr>
        <w:t xml:space="preserve"> (c’est-à-dire à partir du moment où les élèves sont en possession de tous les documents).</w:t>
      </w:r>
    </w:p>
    <w:p>
      <w:pPr>
        <w:spacing w:after="120" w:line="259" w:lineRule="auto"/>
        <w:rPr>
          <w:rFonts w:ascii="Calibri" w:hAnsi="Calibri" w:cs="Arial"/>
          <w:sz w:val="20"/>
          <w:szCs w:val="20"/>
        </w:rPr>
      </w:pPr>
      <w:r>
        <w:rPr>
          <w:rFonts w:ascii="Calibri" w:hAnsi="Calibri" w:cs="Arial"/>
          <w:sz w:val="20"/>
          <w:szCs w:val="20"/>
          <w:lang w:val="fr-BE"/>
        </w:rPr>
        <w:t>C</w:t>
      </w:r>
      <w:proofErr w:type="spellStart"/>
      <w:r>
        <w:rPr>
          <w:rFonts w:ascii="Calibri" w:hAnsi="Calibri" w:cs="Arial"/>
          <w:sz w:val="20"/>
          <w:szCs w:val="20"/>
        </w:rPr>
        <w:t>haque</w:t>
      </w:r>
      <w:proofErr w:type="spellEnd"/>
      <w:r>
        <w:rPr>
          <w:rFonts w:ascii="Calibri" w:hAnsi="Calibri" w:cs="Arial"/>
          <w:sz w:val="20"/>
          <w:szCs w:val="20"/>
        </w:rPr>
        <w:t xml:space="preserve"> élève peut disposer d’un </w:t>
      </w:r>
      <w:r>
        <w:rPr>
          <w:rFonts w:ascii="Calibri" w:hAnsi="Calibri" w:cs="Arial"/>
          <w:b/>
          <w:sz w:val="20"/>
          <w:szCs w:val="20"/>
        </w:rPr>
        <w:t>dictionnaire des noms communs</w:t>
      </w:r>
      <w:r>
        <w:rPr>
          <w:rFonts w:ascii="Calibri" w:hAnsi="Calibri" w:cs="Arial"/>
          <w:sz w:val="20"/>
          <w:szCs w:val="20"/>
        </w:rPr>
        <w:t xml:space="preserve"> et de </w:t>
      </w:r>
      <w:r>
        <w:rPr>
          <w:rFonts w:ascii="Calibri" w:hAnsi="Calibri" w:cs="Arial"/>
          <w:b/>
          <w:sz w:val="20"/>
          <w:szCs w:val="20"/>
        </w:rPr>
        <w:t>feuilles de brouillon</w:t>
      </w:r>
      <w:r>
        <w:rPr>
          <w:rFonts w:ascii="Calibri" w:hAnsi="Calibri" w:cs="Arial"/>
          <w:sz w:val="20"/>
          <w:szCs w:val="20"/>
        </w:rPr>
        <w:t>.</w:t>
      </w:r>
    </w:p>
    <w:p>
      <w:pPr>
        <w:tabs>
          <w:tab w:val="left" w:pos="540"/>
        </w:tabs>
        <w:spacing w:after="120" w:line="259" w:lineRule="auto"/>
        <w:jc w:val="both"/>
        <w:rPr>
          <w:rFonts w:ascii="Calibri" w:hAnsi="Calibri" w:cs="Calibri"/>
          <w:sz w:val="20"/>
          <w:szCs w:val="20"/>
          <w:lang w:val="fr-BE"/>
        </w:rPr>
      </w:pPr>
      <w:r>
        <w:rPr>
          <w:rFonts w:ascii="Calibri" w:hAnsi="Calibri" w:cs="Calibri"/>
          <w:sz w:val="20"/>
          <w:szCs w:val="20"/>
          <w:lang w:val="fr-BE"/>
        </w:rPr>
        <w:t>Les élèves à besoins spécifiques peuvent bénéficier d’aménagements lors de l’épreuve, soit au niveau des modalités de passation (ex. temps supplémentaire), soit au niveau du format de l’épreuve (s’ils travaillent habituellement sur des documents adaptés). Les informations complètes figurent au point A.4 ou B.4 de la circulaire.</w:t>
      </w:r>
    </w:p>
    <w:p>
      <w:pPr>
        <w:spacing w:before="240" w:after="120" w:line="259" w:lineRule="auto"/>
        <w:rPr>
          <w:rFonts w:ascii="Calibri" w:hAnsi="Calibri" w:cs="Calibri"/>
          <w:b/>
          <w:sz w:val="22"/>
          <w:szCs w:val="22"/>
        </w:rPr>
      </w:pPr>
      <w:r>
        <w:rPr>
          <w:rFonts w:ascii="Calibri" w:hAnsi="Calibri" w:cs="Calibri"/>
          <w:b/>
          <w:sz w:val="22"/>
          <w:szCs w:val="22"/>
        </w:rPr>
        <w:t>Contenu</w:t>
      </w:r>
    </w:p>
    <w:p>
      <w:pPr>
        <w:tabs>
          <w:tab w:val="left" w:pos="540"/>
        </w:tabs>
        <w:spacing w:after="120" w:line="259" w:lineRule="auto"/>
        <w:jc w:val="both"/>
        <w:rPr>
          <w:rFonts w:ascii="Calibri" w:hAnsi="Calibri" w:cs="Arial"/>
          <w:sz w:val="20"/>
          <w:szCs w:val="20"/>
        </w:rPr>
      </w:pPr>
      <w:r>
        <w:rPr>
          <w:rFonts w:ascii="Calibri" w:hAnsi="Calibri" w:cs="Arial"/>
          <w:sz w:val="20"/>
          <w:szCs w:val="20"/>
        </w:rPr>
        <w:t>L’épreuve portera sur la compétence de synthèse.</w:t>
      </w:r>
    </w:p>
    <w:p>
      <w:pPr>
        <w:tabs>
          <w:tab w:val="left" w:pos="0"/>
        </w:tabs>
        <w:spacing w:after="120" w:line="259" w:lineRule="auto"/>
        <w:jc w:val="both"/>
        <w:rPr>
          <w:rFonts w:asciiTheme="minorHAnsi" w:hAnsiTheme="minorHAnsi" w:cstheme="minorHAnsi"/>
          <w:sz w:val="20"/>
          <w:szCs w:val="20"/>
        </w:rPr>
      </w:pPr>
      <w:r>
        <w:rPr>
          <w:rFonts w:ascii="Calibri" w:hAnsi="Calibri" w:cs="Arial"/>
          <w:sz w:val="20"/>
          <w:szCs w:val="20"/>
        </w:rPr>
        <w:t>Cette épreuve consiste en la rédaction d’une synthèse sous la forme d’un texte (compétence 3) au départ d’une question de recherche et d’un dossier documentaire inédit portant sur une thématique liée au moment-clé « Le XX</w:t>
      </w:r>
      <w:r>
        <w:rPr>
          <w:rFonts w:ascii="Calibri" w:hAnsi="Calibri" w:cs="Arial"/>
          <w:sz w:val="20"/>
          <w:szCs w:val="20"/>
          <w:vertAlign w:val="superscript"/>
        </w:rPr>
        <w:t>e</w:t>
      </w:r>
      <w:r>
        <w:rPr>
          <w:rFonts w:ascii="Calibri" w:hAnsi="Calibri" w:cs="Arial"/>
          <w:sz w:val="20"/>
          <w:szCs w:val="20"/>
        </w:rPr>
        <w:t xml:space="preserve"> </w:t>
      </w:r>
      <w:r>
        <w:rPr>
          <w:rFonts w:asciiTheme="minorHAnsi" w:hAnsiTheme="minorHAnsi" w:cstheme="minorHAnsi"/>
          <w:sz w:val="20"/>
          <w:szCs w:val="20"/>
        </w:rPr>
        <w:t>siècle : les mutations de la société et des mentalités : aspects et contrastes ».</w:t>
      </w:r>
    </w:p>
    <w:p>
      <w:pPr>
        <w:tabs>
          <w:tab w:val="left" w:pos="0"/>
        </w:tabs>
        <w:spacing w:after="120" w:line="259" w:lineRule="auto"/>
        <w:jc w:val="both"/>
        <w:rPr>
          <w:rFonts w:ascii="Calibri" w:hAnsi="Calibri" w:cs="Arial"/>
          <w:sz w:val="20"/>
          <w:szCs w:val="20"/>
        </w:rPr>
      </w:pPr>
      <w:r>
        <w:rPr>
          <w:rFonts w:ascii="Calibri" w:hAnsi="Calibri" w:cs="Arial"/>
          <w:sz w:val="20"/>
          <w:szCs w:val="20"/>
        </w:rPr>
        <w:t>Au-delà de la mobilisation des savoirs conceptuels, l’épreuve 2019 nécessitera également la maitrise de savoirs contextuels concernant la situation socioéconomique en Europe pour la période 1950-1980.</w:t>
      </w:r>
    </w:p>
    <w:p>
      <w:pPr>
        <w:tabs>
          <w:tab w:val="left" w:pos="0"/>
        </w:tabs>
        <w:spacing w:after="120" w:line="259" w:lineRule="auto"/>
        <w:jc w:val="both"/>
        <w:rPr>
          <w:rFonts w:ascii="Calibri" w:hAnsi="Calibri" w:cs="Arial"/>
          <w:sz w:val="20"/>
          <w:szCs w:val="20"/>
        </w:rPr>
      </w:pPr>
      <w:r>
        <w:rPr>
          <w:rFonts w:ascii="Calibri" w:hAnsi="Calibri" w:cs="Arial"/>
          <w:sz w:val="20"/>
          <w:szCs w:val="20"/>
        </w:rPr>
        <w:t>Cette maitrise est essentielle car, pour rappel, le corpus documentaire ne sera accompagné ni d’une chronologie ni d’un rappel du contexte.</w:t>
      </w:r>
    </w:p>
    <w:p>
      <w:pPr>
        <w:tabs>
          <w:tab w:val="left" w:pos="0"/>
        </w:tabs>
        <w:spacing w:before="240" w:after="120" w:line="259" w:lineRule="auto"/>
        <w:jc w:val="both"/>
        <w:rPr>
          <w:rFonts w:ascii="Calibri" w:hAnsi="Calibri" w:cs="Calibri"/>
          <w:b/>
          <w:iCs/>
          <w:sz w:val="22"/>
          <w:szCs w:val="22"/>
          <w:lang w:val="fr-BE"/>
        </w:rPr>
      </w:pPr>
      <w:r>
        <w:rPr>
          <w:rFonts w:ascii="Calibri" w:hAnsi="Calibri" w:cs="Calibri"/>
          <w:b/>
          <w:iCs/>
          <w:sz w:val="22"/>
          <w:szCs w:val="22"/>
          <w:lang w:val="fr-BE"/>
        </w:rPr>
        <w:t>Documents pour les enseignants</w:t>
      </w:r>
    </w:p>
    <w:p>
      <w:pPr>
        <w:tabs>
          <w:tab w:val="left" w:pos="0"/>
        </w:tabs>
        <w:spacing w:before="120" w:after="120" w:line="259" w:lineRule="auto"/>
        <w:jc w:val="both"/>
        <w:rPr>
          <w:rFonts w:ascii="Calibri" w:hAnsi="Calibri" w:cs="Calibri"/>
          <w:iCs/>
          <w:sz w:val="20"/>
          <w:szCs w:val="20"/>
          <w:lang w:val="fr-BE"/>
        </w:rPr>
      </w:pPr>
      <w:r>
        <w:rPr>
          <w:rFonts w:ascii="Calibri" w:hAnsi="Calibri" w:cs="Calibri"/>
          <w:iCs/>
          <w:sz w:val="20"/>
          <w:szCs w:val="20"/>
          <w:lang w:val="fr-BE"/>
        </w:rPr>
        <w:t>Les différents documents seront téléchargeables sur la plateforme EVALEXT par le chef d’établissement ou le pouvoir organisateur puis remis aux enseignants :</w:t>
      </w:r>
    </w:p>
    <w:p>
      <w:pPr>
        <w:pStyle w:val="Paragraphedeliste"/>
        <w:numPr>
          <w:ilvl w:val="0"/>
          <w:numId w:val="6"/>
        </w:numPr>
        <w:tabs>
          <w:tab w:val="left" w:pos="851"/>
        </w:tabs>
        <w:spacing w:line="259" w:lineRule="auto"/>
        <w:jc w:val="both"/>
        <w:rPr>
          <w:rFonts w:ascii="Calibri" w:hAnsi="Calibri" w:cs="Calibri"/>
          <w:iCs/>
          <w:sz w:val="20"/>
          <w:szCs w:val="20"/>
          <w:lang w:val="fr-BE"/>
        </w:rPr>
      </w:pPr>
      <w:r>
        <w:rPr>
          <w:rFonts w:ascii="Calibri" w:hAnsi="Calibri" w:cs="Calibri"/>
          <w:iCs/>
          <w:sz w:val="20"/>
          <w:szCs w:val="20"/>
          <w:lang w:val="fr-BE"/>
        </w:rPr>
        <w:t>le 7 juin 2019 : le dossier de l’enseignant et la grille d’encodage des résultats.</w:t>
      </w:r>
    </w:p>
    <w:p>
      <w:pPr>
        <w:pStyle w:val="Paragraphedeliste"/>
        <w:numPr>
          <w:ilvl w:val="0"/>
          <w:numId w:val="6"/>
        </w:numPr>
        <w:tabs>
          <w:tab w:val="left" w:pos="851"/>
        </w:tabs>
        <w:spacing w:line="259" w:lineRule="auto"/>
        <w:jc w:val="both"/>
        <w:rPr>
          <w:rFonts w:ascii="Calibri" w:hAnsi="Calibri" w:cs="Calibri"/>
          <w:iCs/>
          <w:sz w:val="20"/>
          <w:szCs w:val="20"/>
          <w:lang w:val="fr-BE"/>
        </w:rPr>
      </w:pPr>
      <w:r>
        <w:rPr>
          <w:rFonts w:ascii="Calibri" w:hAnsi="Calibri" w:cs="Calibri"/>
          <w:iCs/>
          <w:sz w:val="20"/>
          <w:szCs w:val="20"/>
          <w:lang w:val="fr-BE"/>
        </w:rPr>
        <w:t>le matin de l’épreuve à 7h : les versions adaptées V2 (Arial 14) en format électronique.</w:t>
      </w:r>
    </w:p>
    <w:p>
      <w:pPr>
        <w:pStyle w:val="Paragraphedeliste"/>
        <w:numPr>
          <w:ilvl w:val="0"/>
          <w:numId w:val="6"/>
        </w:numPr>
        <w:tabs>
          <w:tab w:val="left" w:pos="0"/>
        </w:tabs>
        <w:autoSpaceDE w:val="0"/>
        <w:autoSpaceDN w:val="0"/>
        <w:adjustRightInd w:val="0"/>
        <w:spacing w:line="259" w:lineRule="auto"/>
        <w:jc w:val="both"/>
        <w:rPr>
          <w:sz w:val="20"/>
          <w:szCs w:val="20"/>
        </w:rPr>
      </w:pPr>
      <w:r>
        <w:rPr>
          <w:rFonts w:ascii="Calibri" w:hAnsi="Calibri" w:cs="Calibri"/>
          <w:iCs/>
          <w:sz w:val="20"/>
          <w:szCs w:val="20"/>
          <w:lang w:val="fr-BE"/>
        </w:rPr>
        <w:t>le jour de l’épreuve dès 10h30 : le guide de correction.</w:t>
      </w:r>
    </w:p>
    <w:p>
      <w:pPr>
        <w:autoSpaceDE w:val="0"/>
        <w:autoSpaceDN w:val="0"/>
        <w:adjustRightInd w:val="0"/>
        <w:spacing w:line="259" w:lineRule="auto"/>
        <w:jc w:val="both"/>
        <w:rPr>
          <w:rFonts w:asciiTheme="minorHAnsi" w:hAnsiTheme="minorHAnsi" w:cstheme="minorHAnsi"/>
          <w:sz w:val="22"/>
          <w:szCs w:val="22"/>
        </w:rPr>
      </w:pPr>
    </w:p>
    <w:p>
      <w:pPr>
        <w:autoSpaceDE w:val="0"/>
        <w:autoSpaceDN w:val="0"/>
        <w:adjustRightInd w:val="0"/>
        <w:spacing w:line="259" w:lineRule="auto"/>
        <w:jc w:val="both"/>
        <w:rPr>
          <w:rFonts w:asciiTheme="minorHAnsi" w:hAnsiTheme="minorHAnsi" w:cstheme="minorHAnsi"/>
          <w:sz w:val="22"/>
          <w:szCs w:val="22"/>
        </w:rPr>
      </w:pPr>
    </w:p>
    <w:p>
      <w:pPr>
        <w:autoSpaceDE w:val="0"/>
        <w:autoSpaceDN w:val="0"/>
        <w:adjustRightInd w:val="0"/>
        <w:spacing w:line="259" w:lineRule="auto"/>
        <w:jc w:val="both"/>
        <w:rPr>
          <w:rFonts w:asciiTheme="minorHAnsi" w:hAnsiTheme="minorHAnsi" w:cstheme="minorHAnsi"/>
          <w:sz w:val="22"/>
          <w:szCs w:val="22"/>
        </w:rPr>
      </w:pPr>
    </w:p>
    <w:p>
      <w:pPr>
        <w:autoSpaceDE w:val="0"/>
        <w:autoSpaceDN w:val="0"/>
        <w:adjustRightInd w:val="0"/>
        <w:spacing w:line="259" w:lineRule="auto"/>
        <w:jc w:val="both"/>
        <w:rPr>
          <w:rFonts w:asciiTheme="minorHAnsi" w:hAnsiTheme="minorHAnsi" w:cstheme="minorHAnsi"/>
          <w:sz w:val="22"/>
          <w:szCs w:val="22"/>
        </w:rPr>
      </w:pPr>
    </w:p>
    <w:p>
      <w:pPr>
        <w:autoSpaceDE w:val="0"/>
        <w:autoSpaceDN w:val="0"/>
        <w:adjustRightInd w:val="0"/>
        <w:spacing w:line="259" w:lineRule="auto"/>
        <w:jc w:val="both"/>
        <w:rPr>
          <w:rFonts w:asciiTheme="minorHAnsi" w:hAnsiTheme="minorHAnsi" w:cstheme="minorHAnsi"/>
          <w:sz w:val="22"/>
          <w:szCs w:val="22"/>
        </w:rPr>
      </w:pPr>
    </w:p>
    <w:p>
      <w:pPr>
        <w:autoSpaceDE w:val="0"/>
        <w:autoSpaceDN w:val="0"/>
        <w:adjustRightInd w:val="0"/>
        <w:spacing w:line="259" w:lineRule="auto"/>
        <w:jc w:val="both"/>
        <w:rPr>
          <w:rFonts w:asciiTheme="minorHAnsi" w:hAnsiTheme="minorHAnsi" w:cstheme="minorHAnsi"/>
          <w:sz w:val="22"/>
          <w:szCs w:val="22"/>
        </w:rPr>
      </w:pPr>
    </w:p>
    <w:p>
      <w:pPr>
        <w:autoSpaceDE w:val="0"/>
        <w:autoSpaceDN w:val="0"/>
        <w:adjustRightInd w:val="0"/>
        <w:spacing w:line="259" w:lineRule="auto"/>
        <w:jc w:val="both"/>
        <w:rPr>
          <w:rFonts w:asciiTheme="minorHAnsi" w:hAnsiTheme="minorHAnsi" w:cstheme="minorHAnsi"/>
          <w:sz w:val="22"/>
          <w:szCs w:val="22"/>
        </w:rPr>
      </w:pPr>
    </w:p>
    <w:p>
      <w:pPr>
        <w:autoSpaceDE w:val="0"/>
        <w:autoSpaceDN w:val="0"/>
        <w:adjustRightInd w:val="0"/>
        <w:spacing w:line="259" w:lineRule="auto"/>
        <w:jc w:val="both"/>
        <w:rPr>
          <w:rFonts w:asciiTheme="minorHAnsi" w:hAnsiTheme="minorHAnsi" w:cstheme="minorHAnsi"/>
          <w:sz w:val="22"/>
          <w:szCs w:val="22"/>
        </w:rPr>
      </w:pPr>
    </w:p>
    <w:p>
      <w:pPr>
        <w:autoSpaceDE w:val="0"/>
        <w:autoSpaceDN w:val="0"/>
        <w:adjustRightInd w:val="0"/>
        <w:spacing w:line="259" w:lineRule="auto"/>
        <w:jc w:val="both"/>
        <w:rPr>
          <w:rFonts w:asciiTheme="minorHAnsi" w:hAnsiTheme="minorHAnsi" w:cstheme="minorHAnsi"/>
          <w:sz w:val="22"/>
          <w:szCs w:val="22"/>
        </w:rPr>
      </w:pPr>
    </w:p>
    <w:p>
      <w:pPr>
        <w:autoSpaceDE w:val="0"/>
        <w:autoSpaceDN w:val="0"/>
        <w:adjustRightInd w:val="0"/>
        <w:spacing w:line="259" w:lineRule="auto"/>
        <w:jc w:val="both"/>
        <w:rPr>
          <w:rFonts w:asciiTheme="minorHAnsi" w:hAnsiTheme="minorHAnsi" w:cstheme="minorHAnsi"/>
          <w:sz w:val="22"/>
          <w:szCs w:val="22"/>
        </w:rPr>
      </w:pPr>
    </w:p>
    <w:p>
      <w:pPr>
        <w:autoSpaceDE w:val="0"/>
        <w:autoSpaceDN w:val="0"/>
        <w:adjustRightInd w:val="0"/>
        <w:spacing w:line="259" w:lineRule="auto"/>
        <w:jc w:val="both"/>
        <w:rPr>
          <w:rFonts w:asciiTheme="minorHAnsi" w:hAnsiTheme="minorHAnsi" w:cstheme="minorHAnsi"/>
          <w:sz w:val="22"/>
          <w:szCs w:val="22"/>
        </w:rPr>
      </w:pPr>
    </w:p>
    <w:p>
      <w:pPr>
        <w:autoSpaceDE w:val="0"/>
        <w:autoSpaceDN w:val="0"/>
        <w:adjustRightInd w:val="0"/>
        <w:spacing w:line="259" w:lineRule="auto"/>
        <w:jc w:val="both"/>
        <w:rPr>
          <w:rFonts w:asciiTheme="minorHAnsi" w:hAnsiTheme="minorHAnsi" w:cstheme="minorHAnsi"/>
          <w:sz w:val="22"/>
          <w:szCs w:val="22"/>
        </w:rPr>
      </w:pPr>
    </w:p>
    <w:p>
      <w:pPr>
        <w:autoSpaceDE w:val="0"/>
        <w:autoSpaceDN w:val="0"/>
        <w:adjustRightInd w:val="0"/>
        <w:spacing w:line="259" w:lineRule="auto"/>
        <w:jc w:val="both"/>
        <w:rPr>
          <w:rFonts w:asciiTheme="minorHAnsi" w:hAnsiTheme="minorHAnsi" w:cstheme="minorHAnsi"/>
          <w:sz w:val="22"/>
          <w:szCs w:val="22"/>
        </w:rPr>
      </w:pPr>
    </w:p>
    <w:p>
      <w:pPr>
        <w:autoSpaceDE w:val="0"/>
        <w:autoSpaceDN w:val="0"/>
        <w:adjustRightInd w:val="0"/>
        <w:spacing w:line="259" w:lineRule="auto"/>
        <w:jc w:val="both"/>
        <w:rPr>
          <w:rFonts w:asciiTheme="minorHAnsi" w:hAnsiTheme="minorHAnsi" w:cstheme="minorHAnsi"/>
          <w:sz w:val="22"/>
          <w:szCs w:val="22"/>
        </w:rPr>
      </w:pPr>
    </w:p>
    <w:p>
      <w:pPr>
        <w:autoSpaceDE w:val="0"/>
        <w:autoSpaceDN w:val="0"/>
        <w:adjustRightInd w:val="0"/>
        <w:spacing w:line="259" w:lineRule="auto"/>
        <w:jc w:val="both"/>
        <w:rPr>
          <w:rFonts w:asciiTheme="minorHAnsi" w:hAnsiTheme="minorHAnsi" w:cstheme="minorHAnsi"/>
          <w:sz w:val="22"/>
          <w:szCs w:val="22"/>
        </w:rPr>
      </w:pPr>
    </w:p>
    <w:p>
      <w:pPr>
        <w:autoSpaceDE w:val="0"/>
        <w:autoSpaceDN w:val="0"/>
        <w:adjustRightInd w:val="0"/>
        <w:spacing w:line="259" w:lineRule="auto"/>
        <w:jc w:val="both"/>
      </w:pPr>
      <w:r>
        <w:rPr>
          <w:rFonts w:ascii="Calibri" w:hAnsi="Calibri" w:cs="Calibri"/>
          <w:i/>
          <w:sz w:val="18"/>
          <w:szCs w:val="18"/>
          <w:lang w:val="fr-BE"/>
        </w:rPr>
        <w:t xml:space="preserve">À titre d’illustration, les épreuves des années précédentes </w:t>
      </w:r>
      <w:r>
        <w:rPr>
          <w:rFonts w:ascii="Calibri" w:hAnsi="Calibri" w:cs="Calibri"/>
          <w:b/>
          <w:i/>
          <w:sz w:val="18"/>
          <w:szCs w:val="18"/>
          <w:lang w:val="fr-BE"/>
        </w:rPr>
        <w:t>(par ex., celle de 2018)</w:t>
      </w:r>
      <w:r>
        <w:rPr>
          <w:rFonts w:ascii="Calibri" w:hAnsi="Calibri" w:cs="Calibri"/>
          <w:i/>
          <w:sz w:val="18"/>
          <w:szCs w:val="18"/>
          <w:lang w:val="fr-BE"/>
        </w:rPr>
        <w:t xml:space="preserve"> sont accessibles sur </w:t>
      </w:r>
      <w:hyperlink r:id="rId7" w:history="1">
        <w:r>
          <w:rPr>
            <w:rStyle w:val="Lienhypertexte"/>
            <w:rFonts w:ascii="Calibri" w:hAnsi="Calibri" w:cs="Calibri"/>
            <w:i/>
            <w:sz w:val="18"/>
            <w:szCs w:val="18"/>
            <w:lang w:val="fr-BE"/>
          </w:rPr>
          <w:t>www.enseignement.be/cess</w:t>
        </w:r>
      </w:hyperlink>
      <w:r>
        <w:rPr>
          <w:rFonts w:ascii="Calibri" w:hAnsi="Calibri" w:cs="Calibri"/>
          <w:i/>
          <w:sz w:val="18"/>
          <w:szCs w:val="18"/>
          <w:lang w:val="fr-BE"/>
        </w:rPr>
        <w:t>.</w:t>
      </w:r>
      <w:r>
        <w:rPr>
          <w:rFonts w:ascii="Calibri" w:hAnsi="Calibri" w:cs="Calibri"/>
          <w:i/>
          <w:sz w:val="18"/>
          <w:szCs w:val="18"/>
        </w:rPr>
        <w:t xml:space="preserve"> </w:t>
      </w:r>
    </w:p>
    <w:p>
      <w:pPr>
        <w:autoSpaceDE w:val="0"/>
        <w:autoSpaceDN w:val="0"/>
        <w:adjustRightInd w:val="0"/>
        <w:spacing w:line="259" w:lineRule="auto"/>
        <w:jc w:val="both"/>
        <w:rPr>
          <w:rFonts w:ascii="Calibri" w:hAnsi="Calibri" w:cs="Calibri"/>
          <w:i/>
          <w:sz w:val="18"/>
          <w:szCs w:val="18"/>
        </w:rPr>
      </w:pPr>
    </w:p>
    <w:sectPr>
      <w:headerReference w:type="default" r:id="rId8"/>
      <w:pgSz w:w="11906" w:h="16838"/>
      <w:pgMar w:top="426" w:right="849" w:bottom="284" w:left="851" w:header="421" w:footer="708" w:gutter="0"/>
      <w:pgBorders w:offsetFrom="page">
        <w:top w:val="dashed" w:sz="4" w:space="24" w:color="auto"/>
        <w:left w:val="dashed" w:sz="4" w:space="24" w:color="auto"/>
        <w:bottom w:val="dashed" w:sz="4" w:space="24" w:color="auto"/>
        <w:right w:val="dashed"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Grilledetableauclaire"/>
      <w:tblW w:w="1092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823"/>
    </w:tblGrid>
    <w:tr>
      <w:tc>
        <w:tcPr>
          <w:tcW w:w="5098" w:type="dxa"/>
        </w:tcPr>
        <w:p>
          <w:pPr>
            <w:pStyle w:val="En-tte"/>
            <w:tabs>
              <w:tab w:val="clear" w:pos="4536"/>
            </w:tabs>
          </w:pPr>
          <w:r>
            <w:rPr>
              <w:noProof/>
              <w:lang w:val="fr-BE" w:eastAsia="fr-BE"/>
            </w:rPr>
            <w:drawing>
              <wp:inline distT="0" distB="0" distL="0" distR="0">
                <wp:extent cx="2696845" cy="830580"/>
                <wp:effectExtent l="0" t="0" r="8255" b="7620"/>
                <wp:docPr id="1" name="Image 1" descr="C:\Users\quinta01\AppData\Local\Microsoft\Windows\INetCache\Content.Word\FWBNOIR_ENSEIGNEM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quinta01\AppData\Local\Microsoft\Windows\INetCache\Content.Word\FWBNOIR_ENSEIGNEMEN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96845" cy="830580"/>
                        </a:xfrm>
                        <a:prstGeom prst="rect">
                          <a:avLst/>
                        </a:prstGeom>
                        <a:noFill/>
                        <a:ln>
                          <a:noFill/>
                        </a:ln>
                      </pic:spPr>
                    </pic:pic>
                  </a:graphicData>
                </a:graphic>
              </wp:inline>
            </w:drawing>
          </w:r>
        </w:p>
      </w:tc>
      <w:tc>
        <w:tcPr>
          <w:tcW w:w="5823" w:type="dxa"/>
        </w:tcPr>
        <w:p>
          <w:pPr>
            <w:pStyle w:val="En-tte"/>
            <w:tabs>
              <w:tab w:val="clear" w:pos="4536"/>
            </w:tabs>
            <w:ind w:left="2444"/>
            <w:rPr>
              <w:b/>
            </w:rPr>
          </w:pPr>
        </w:p>
        <w:p>
          <w:pPr>
            <w:pStyle w:val="En-tte"/>
            <w:tabs>
              <w:tab w:val="clear" w:pos="4536"/>
            </w:tabs>
            <w:ind w:left="3872"/>
            <w:jc w:val="right"/>
            <w:rPr>
              <w:rFonts w:asciiTheme="minorHAnsi" w:hAnsiTheme="minorHAnsi" w:cstheme="minorHAnsi"/>
              <w:b/>
            </w:rPr>
          </w:pPr>
          <w:r>
            <w:rPr>
              <w:rFonts w:asciiTheme="minorHAnsi" w:hAnsiTheme="minorHAnsi" w:cstheme="minorHAnsi"/>
              <w:b/>
            </w:rPr>
            <w:t>CESS 2019</w:t>
          </w:r>
        </w:p>
        <w:p>
          <w:pPr>
            <w:pStyle w:val="En-tte"/>
            <w:ind w:left="601"/>
          </w:pPr>
        </w:p>
      </w:tc>
    </w:tr>
  </w:tbl>
  <w:p>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C0E3A"/>
    <w:multiLevelType w:val="hybridMultilevel"/>
    <w:tmpl w:val="FCEA3D64"/>
    <w:lvl w:ilvl="0" w:tplc="851A9990">
      <w:start w:val="8"/>
      <w:numFmt w:val="bullet"/>
      <w:lvlText w:val="-"/>
      <w:lvlJc w:val="left"/>
      <w:pPr>
        <w:ind w:left="1209" w:hanging="360"/>
      </w:pPr>
      <w:rPr>
        <w:rFonts w:ascii="Times New Roman" w:eastAsia="Times New Roman" w:hAnsi="Times New Roman" w:cs="Times New Roman" w:hint="default"/>
      </w:rPr>
    </w:lvl>
    <w:lvl w:ilvl="1" w:tplc="080C0003" w:tentative="1">
      <w:start w:val="1"/>
      <w:numFmt w:val="bullet"/>
      <w:lvlText w:val="o"/>
      <w:lvlJc w:val="left"/>
      <w:pPr>
        <w:ind w:left="1929" w:hanging="360"/>
      </w:pPr>
      <w:rPr>
        <w:rFonts w:ascii="Courier New" w:hAnsi="Courier New" w:cs="Courier New" w:hint="default"/>
      </w:rPr>
    </w:lvl>
    <w:lvl w:ilvl="2" w:tplc="080C0005" w:tentative="1">
      <w:start w:val="1"/>
      <w:numFmt w:val="bullet"/>
      <w:lvlText w:val=""/>
      <w:lvlJc w:val="left"/>
      <w:pPr>
        <w:ind w:left="2649" w:hanging="360"/>
      </w:pPr>
      <w:rPr>
        <w:rFonts w:ascii="Wingdings" w:hAnsi="Wingdings" w:hint="default"/>
      </w:rPr>
    </w:lvl>
    <w:lvl w:ilvl="3" w:tplc="080C0001" w:tentative="1">
      <w:start w:val="1"/>
      <w:numFmt w:val="bullet"/>
      <w:lvlText w:val=""/>
      <w:lvlJc w:val="left"/>
      <w:pPr>
        <w:ind w:left="3369" w:hanging="360"/>
      </w:pPr>
      <w:rPr>
        <w:rFonts w:ascii="Symbol" w:hAnsi="Symbol" w:hint="default"/>
      </w:rPr>
    </w:lvl>
    <w:lvl w:ilvl="4" w:tplc="080C0003" w:tentative="1">
      <w:start w:val="1"/>
      <w:numFmt w:val="bullet"/>
      <w:lvlText w:val="o"/>
      <w:lvlJc w:val="left"/>
      <w:pPr>
        <w:ind w:left="4089" w:hanging="360"/>
      </w:pPr>
      <w:rPr>
        <w:rFonts w:ascii="Courier New" w:hAnsi="Courier New" w:cs="Courier New" w:hint="default"/>
      </w:rPr>
    </w:lvl>
    <w:lvl w:ilvl="5" w:tplc="080C0005" w:tentative="1">
      <w:start w:val="1"/>
      <w:numFmt w:val="bullet"/>
      <w:lvlText w:val=""/>
      <w:lvlJc w:val="left"/>
      <w:pPr>
        <w:ind w:left="4809" w:hanging="360"/>
      </w:pPr>
      <w:rPr>
        <w:rFonts w:ascii="Wingdings" w:hAnsi="Wingdings" w:hint="default"/>
      </w:rPr>
    </w:lvl>
    <w:lvl w:ilvl="6" w:tplc="080C0001" w:tentative="1">
      <w:start w:val="1"/>
      <w:numFmt w:val="bullet"/>
      <w:lvlText w:val=""/>
      <w:lvlJc w:val="left"/>
      <w:pPr>
        <w:ind w:left="5529" w:hanging="360"/>
      </w:pPr>
      <w:rPr>
        <w:rFonts w:ascii="Symbol" w:hAnsi="Symbol" w:hint="default"/>
      </w:rPr>
    </w:lvl>
    <w:lvl w:ilvl="7" w:tplc="080C0003" w:tentative="1">
      <w:start w:val="1"/>
      <w:numFmt w:val="bullet"/>
      <w:lvlText w:val="o"/>
      <w:lvlJc w:val="left"/>
      <w:pPr>
        <w:ind w:left="6249" w:hanging="360"/>
      </w:pPr>
      <w:rPr>
        <w:rFonts w:ascii="Courier New" w:hAnsi="Courier New" w:cs="Courier New" w:hint="default"/>
      </w:rPr>
    </w:lvl>
    <w:lvl w:ilvl="8" w:tplc="080C0005" w:tentative="1">
      <w:start w:val="1"/>
      <w:numFmt w:val="bullet"/>
      <w:lvlText w:val=""/>
      <w:lvlJc w:val="left"/>
      <w:pPr>
        <w:ind w:left="6969" w:hanging="360"/>
      </w:pPr>
      <w:rPr>
        <w:rFonts w:ascii="Wingdings" w:hAnsi="Wingdings" w:hint="default"/>
      </w:rPr>
    </w:lvl>
  </w:abstractNum>
  <w:abstractNum w:abstractNumId="1" w15:restartNumberingAfterBreak="0">
    <w:nsid w:val="44AB0FAA"/>
    <w:multiLevelType w:val="hybridMultilevel"/>
    <w:tmpl w:val="31B09018"/>
    <w:lvl w:ilvl="0" w:tplc="7456A6C0">
      <w:start w:val="1"/>
      <w:numFmt w:val="bullet"/>
      <w:lvlText w:val="-"/>
      <w:lvlJc w:val="left"/>
      <w:pPr>
        <w:tabs>
          <w:tab w:val="num" w:pos="0"/>
        </w:tabs>
        <w:ind w:left="0" w:firstLine="0"/>
      </w:pPr>
      <w:rPr>
        <w:rFonts w:ascii="Tahoma" w:hAnsi="Tahoma" w:cs="Times New Roman" w:hint="default"/>
        <w:b w:val="0"/>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 w15:restartNumberingAfterBreak="0">
    <w:nsid w:val="44FD4DBD"/>
    <w:multiLevelType w:val="hybridMultilevel"/>
    <w:tmpl w:val="0F1273F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54CC6C17"/>
    <w:multiLevelType w:val="multilevel"/>
    <w:tmpl w:val="7326D5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5CA90509"/>
    <w:multiLevelType w:val="hybridMultilevel"/>
    <w:tmpl w:val="9EBC0C3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697A38A4"/>
    <w:multiLevelType w:val="hybridMultilevel"/>
    <w:tmpl w:val="57F2663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evenAndOddHeaders/>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chartTrackingRefBased/>
  <w15:docId w15:val="{34054AEE-F7FF-48FB-9C09-DDDEF0AF7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val="fr-FR" w:eastAsia="fr-FR"/>
    </w:rPr>
  </w:style>
  <w:style w:type="paragraph" w:styleId="Titre2">
    <w:name w:val="heading 2"/>
    <w:basedOn w:val="Normal"/>
    <w:next w:val="Normal"/>
    <w:link w:val="Titre2Car"/>
    <w:autoRedefine/>
    <w:uiPriority w:val="9"/>
    <w:unhideWhenUsed/>
    <w:qFormat/>
    <w:pPr>
      <w:keepNext/>
      <w:keepLines/>
      <w:spacing w:before="40"/>
      <w:ind w:left="708"/>
      <w:outlineLvl w:val="1"/>
    </w:pPr>
    <w:rPr>
      <w:rFonts w:asciiTheme="majorHAnsi" w:eastAsiaTheme="majorEastAsia" w:hAnsiTheme="majorHAnsi" w:cstheme="majorBidi"/>
      <w:color w:val="2E74B5" w:themeColor="accent1" w:themeShade="BF"/>
      <w:sz w:val="26"/>
      <w:szCs w:val="26"/>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Pr>
      <w:rFonts w:asciiTheme="majorHAnsi" w:eastAsiaTheme="majorEastAsia" w:hAnsiTheme="majorHAnsi" w:cstheme="majorBidi"/>
      <w:color w:val="2E74B5" w:themeColor="accent1" w:themeShade="BF"/>
      <w:sz w:val="26"/>
      <w:szCs w:val="26"/>
      <w:u w:val="single"/>
    </w:rPr>
  </w:style>
  <w:style w:type="character" w:styleId="Titredulivre">
    <w:name w:val="Book Title"/>
    <w:basedOn w:val="Policepardfaut"/>
    <w:uiPriority w:val="33"/>
    <w:qFormat/>
    <w:rPr>
      <w:b/>
      <w:bCs/>
      <w:i/>
      <w:iCs/>
      <w:spacing w:val="5"/>
    </w:rPr>
  </w:style>
  <w:style w:type="paragraph" w:styleId="Paragraphedeliste">
    <w:name w:val="List Paragraph"/>
    <w:basedOn w:val="Normal"/>
    <w:uiPriority w:val="34"/>
    <w:qFormat/>
    <w:pPr>
      <w:ind w:left="720"/>
      <w:contextualSpacing/>
    </w:pPr>
  </w:style>
  <w:style w:type="character" w:styleId="Lienhypertexte">
    <w:name w:val="Hyperlink"/>
    <w:basedOn w:val="Policepardfaut"/>
    <w:uiPriority w:val="99"/>
    <w:rPr>
      <w:color w:val="0000FF"/>
      <w:u w:val="single"/>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customStyle="1" w:styleId="Default">
    <w:name w:val="Default"/>
    <w:pPr>
      <w:autoSpaceDE w:val="0"/>
      <w:autoSpaceDN w:val="0"/>
      <w:adjustRightInd w:val="0"/>
      <w:spacing w:after="0" w:line="240" w:lineRule="auto"/>
    </w:pPr>
    <w:rPr>
      <w:rFonts w:ascii="Times New Roman" w:eastAsia="Times New Roman" w:hAnsi="Times New Roman" w:cs="Times New Roman"/>
      <w:color w:val="000000"/>
      <w:sz w:val="24"/>
      <w:szCs w:val="24"/>
      <w:lang w:val="fr-FR" w:eastAsia="fr-FR"/>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etableauclaire">
    <w:name w:val="Grid Table Light"/>
    <w:basedOn w:val="Tableau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525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nseignement.be/c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220</TotalTime>
  <Pages>1</Pages>
  <Words>335</Words>
  <Characters>1843</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QUINTARD Guy</dc:creator>
  <cp:keywords/>
  <dc:description/>
  <cp:lastModifiedBy>BUKUMBABU Katenda</cp:lastModifiedBy>
  <cp:revision>4</cp:revision>
  <cp:lastPrinted>2018-01-29T10:05:00Z</cp:lastPrinted>
  <dcterms:created xsi:type="dcterms:W3CDTF">2019-01-14T10:46:00Z</dcterms:created>
  <dcterms:modified xsi:type="dcterms:W3CDTF">2019-01-18T11:21:00Z</dcterms:modified>
</cp:coreProperties>
</file>